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723" w:firstLineChars="200"/>
        <w:jc w:val="center"/>
        <w:rPr>
          <w:rFonts w:ascii="宋体" w:hAnsi="宋体" w:eastAsia="宋体" w:cs="宋体"/>
          <w:b/>
          <w:bCs/>
          <w:color w:val="182C3F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82C3F"/>
          <w:sz w:val="36"/>
          <w:szCs w:val="36"/>
        </w:rPr>
        <w:t>“新发展理念与中国社会现代化”学术研讨会</w:t>
      </w:r>
    </w:p>
    <w:p>
      <w:pPr>
        <w:spacing w:line="300" w:lineRule="auto"/>
        <w:ind w:firstLine="482" w:firstLineChars="200"/>
        <w:rPr>
          <w:rFonts w:ascii="仿宋" w:hAnsi="仿宋" w:eastAsia="仿宋" w:cs="仿宋"/>
          <w:b/>
          <w:bCs/>
          <w:color w:val="182C3F"/>
          <w:sz w:val="24"/>
        </w:rPr>
      </w:pPr>
    </w:p>
    <w:p>
      <w:pPr>
        <w:spacing w:line="300" w:lineRule="auto"/>
        <w:ind w:firstLine="560" w:firstLineChars="200"/>
        <w:rPr>
          <w:rFonts w:ascii="仿宋" w:hAnsi="仿宋" w:eastAsia="仿宋" w:cs="仿宋"/>
          <w:b/>
          <w:bCs/>
          <w:color w:val="182C3F"/>
          <w:sz w:val="24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2021年是中国共产党成立100周年，是“十四五”规划开局之年，也是开启全面建设社会主义现代化国家的开局之年。这标志着我国进入了一个新发展阶段。习近平总书记指出，要准确把握新发展阶段，深入贯彻新发展理念，加快构建新发展格局。深入贯彻新发展理念，推进中国的社会现代化，将是今后中国特色社会主义社会学的重要使命。为庆祝中国共产党</w:t>
      </w:r>
      <w:r>
        <w:rPr>
          <w:rFonts w:hint="eastAsia" w:ascii="宋体" w:hAnsi="宋体" w:eastAsia="宋体" w:cs="宋体"/>
          <w:color w:val="182C3F"/>
          <w:sz w:val="28"/>
          <w:szCs w:val="28"/>
          <w:lang w:val="en-US" w:eastAsia="zh-CN"/>
        </w:rPr>
        <w:t>建党百年</w:t>
      </w:r>
      <w:r>
        <w:rPr>
          <w:rFonts w:hint="eastAsia" w:ascii="宋体" w:hAnsi="宋体" w:eastAsia="宋体" w:cs="宋体"/>
          <w:color w:val="182C3F"/>
          <w:sz w:val="28"/>
          <w:szCs w:val="28"/>
        </w:rPr>
        <w:t>，进一步加强党史学习教育和革命传统教育，深入学习贯彻党的十九届五中全会精神，更加精准贯彻新发展理念，应对新发展阶段的新挑战，探讨中国特色社会现代化的理论和战略构想，助力开启全面建设社会主义现代化国家新征程的美好画卷，中国社会科学院社会学研究所、江西财经大学将于2021年7月3-4日在江西井冈山共同举办“新发展理念与中国社会现代化”学术研讨会,会议由江西财经大学人文学院承办。</w:t>
      </w:r>
    </w:p>
    <w:p>
      <w:pPr>
        <w:spacing w:line="300" w:lineRule="auto"/>
        <w:ind w:firstLine="562" w:firstLineChars="200"/>
        <w:rPr>
          <w:rFonts w:ascii="宋体" w:hAnsi="宋体" w:eastAsia="宋体" w:cs="宋体"/>
          <w:b/>
          <w:bCs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82C3F"/>
          <w:sz w:val="28"/>
          <w:szCs w:val="28"/>
        </w:rPr>
        <w:t>一、会议时间与地点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报到时间：2021年7月2日下午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会议召开时间：2021年7月3-4日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7月3日上午:会议开幕式；大会主题发言；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7月3日下午:会议分主题发言。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7月4日上午：</w:t>
      </w:r>
      <w:r>
        <w:rPr>
          <w:rFonts w:hint="eastAsia" w:ascii="宋体" w:hAnsi="宋体" w:eastAsia="宋体" w:cs="宋体"/>
          <w:color w:val="182C3F"/>
          <w:sz w:val="28"/>
          <w:szCs w:val="28"/>
          <w:lang w:val="en-US" w:eastAsia="zh-CN"/>
        </w:rPr>
        <w:t>分主题发言；</w:t>
      </w:r>
      <w:bookmarkStart w:id="0" w:name="_GoBack"/>
      <w:bookmarkEnd w:id="0"/>
      <w:r>
        <w:rPr>
          <w:rFonts w:hint="eastAsia" w:ascii="宋体" w:hAnsi="宋体" w:eastAsia="宋体" w:cs="宋体"/>
          <w:color w:val="182C3F"/>
          <w:sz w:val="28"/>
          <w:szCs w:val="28"/>
        </w:rPr>
        <w:t>党史学习；闭会。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7月4日下午：离会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会议地址：江西省井冈山市井冈山宾馆</w:t>
      </w:r>
    </w:p>
    <w:p>
      <w:pPr>
        <w:spacing w:line="300" w:lineRule="auto"/>
        <w:ind w:firstLine="562" w:firstLineChars="200"/>
        <w:rPr>
          <w:rFonts w:ascii="宋体" w:hAnsi="宋体" w:eastAsia="宋体" w:cs="宋体"/>
          <w:b/>
          <w:bCs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82C3F"/>
          <w:sz w:val="28"/>
          <w:szCs w:val="28"/>
        </w:rPr>
        <w:t>二、会议主要议题</w:t>
      </w:r>
    </w:p>
    <w:p>
      <w:pPr>
        <w:spacing w:line="300" w:lineRule="auto"/>
        <w:ind w:firstLine="560" w:firstLineChars="200"/>
        <w:rPr>
          <w:rFonts w:hint="eastAsia" w:ascii="宋体" w:hAnsi="宋体" w:eastAsia="宋体" w:cs="宋体"/>
          <w:color w:val="182C3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中国共产党百年社会现代化的探索与经验研究</w:t>
      </w:r>
      <w:r>
        <w:rPr>
          <w:rFonts w:hint="eastAsia" w:ascii="宋体" w:hAnsi="宋体" w:eastAsia="宋体" w:cs="宋体"/>
          <w:color w:val="182C3F"/>
          <w:sz w:val="28"/>
          <w:szCs w:val="28"/>
          <w:lang w:eastAsia="zh-CN"/>
        </w:rPr>
        <w:t>；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新发展理念与新发展阶段的社会发展理论建构；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新发展理念与新发展社会学；</w:t>
      </w:r>
    </w:p>
    <w:p>
      <w:pPr>
        <w:spacing w:line="300" w:lineRule="auto"/>
        <w:ind w:firstLine="560" w:firstLineChars="200"/>
        <w:rPr>
          <w:rFonts w:hint="eastAsia"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新发展阶段的社会治理与社会结构的现代化；</w:t>
      </w:r>
    </w:p>
    <w:p>
      <w:pPr>
        <w:spacing w:line="300" w:lineRule="auto"/>
        <w:ind w:firstLine="560" w:firstLineChars="200"/>
        <w:rPr>
          <w:rFonts w:hint="default" w:ascii="宋体" w:hAnsi="宋体" w:eastAsia="宋体" w:cs="宋体"/>
          <w:color w:val="182C3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82C3F"/>
          <w:sz w:val="28"/>
          <w:szCs w:val="28"/>
          <w:lang w:val="en-US" w:eastAsia="zh-CN"/>
        </w:rPr>
        <w:t>传统文化与现代社会治理；</w:t>
      </w:r>
    </w:p>
    <w:p>
      <w:pPr>
        <w:spacing w:line="300" w:lineRule="auto"/>
        <w:ind w:firstLine="560" w:firstLineChars="200"/>
        <w:rPr>
          <w:rFonts w:hint="eastAsia" w:ascii="宋体" w:hAnsi="宋体" w:eastAsia="宋体" w:cs="宋体"/>
          <w:color w:val="182C3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现代化新征程中的社会政策变革</w:t>
      </w:r>
      <w:r>
        <w:rPr>
          <w:rFonts w:hint="eastAsia" w:ascii="宋体" w:hAnsi="宋体" w:eastAsia="宋体" w:cs="宋体"/>
          <w:color w:val="182C3F"/>
          <w:sz w:val="28"/>
          <w:szCs w:val="28"/>
          <w:lang w:eastAsia="zh-CN"/>
        </w:rPr>
        <w:t>；</w:t>
      </w:r>
    </w:p>
    <w:p>
      <w:pPr>
        <w:spacing w:line="300" w:lineRule="auto"/>
        <w:ind w:firstLine="560" w:firstLineChars="200"/>
        <w:rPr>
          <w:rFonts w:hint="eastAsia" w:ascii="宋体" w:hAnsi="宋体" w:eastAsia="宋体" w:cs="宋体"/>
          <w:color w:val="182C3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乡村振兴与农业农村现代化</w:t>
      </w:r>
      <w:r>
        <w:rPr>
          <w:rFonts w:hint="eastAsia" w:ascii="宋体" w:hAnsi="宋体" w:eastAsia="宋体" w:cs="宋体"/>
          <w:color w:val="182C3F"/>
          <w:sz w:val="28"/>
          <w:szCs w:val="28"/>
          <w:lang w:eastAsia="zh-CN"/>
        </w:rPr>
        <w:t>；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农村调查与乡村治理现代化</w:t>
      </w:r>
    </w:p>
    <w:p>
      <w:pPr>
        <w:spacing w:line="300" w:lineRule="auto"/>
        <w:ind w:firstLine="562" w:firstLineChars="200"/>
        <w:rPr>
          <w:rFonts w:ascii="宋体" w:hAnsi="宋体" w:eastAsia="宋体" w:cs="宋体"/>
          <w:b/>
          <w:bCs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82C3F"/>
          <w:sz w:val="28"/>
          <w:szCs w:val="28"/>
        </w:rPr>
        <w:t>三、革命传统教育与党史学习教育活动安排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拟于7月4日上午安排一个特定时间参观井冈山革命博物馆，接受革命传统教育；并拟安排一位党史专家为与会人员讲一堂党课，加强党史和井冈山精神的学习教育。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ind w:firstLine="562"/>
        <w:rPr>
          <w:rFonts w:ascii="宋体" w:hAnsi="宋体" w:eastAsia="宋体" w:cs="宋体"/>
          <w:b/>
          <w:bCs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82C3F"/>
          <w:sz w:val="28"/>
          <w:szCs w:val="28"/>
        </w:rPr>
        <w:t>四、参会回执</w:t>
      </w:r>
      <w:r>
        <w:rPr>
          <w:rFonts w:hint="eastAsia" w:ascii="宋体" w:hAnsi="宋体" w:eastAsia="宋体" w:cs="宋体"/>
          <w:b/>
          <w:bCs/>
          <w:color w:val="182C3F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182C3F"/>
          <w:sz w:val="28"/>
          <w:szCs w:val="28"/>
          <w:lang w:val="en-US" w:eastAsia="zh-CN"/>
        </w:rPr>
        <w:t>论文（摘要）</w:t>
      </w:r>
      <w:r>
        <w:rPr>
          <w:rFonts w:hint="eastAsia" w:ascii="宋体" w:hAnsi="宋体" w:eastAsia="宋体" w:cs="宋体"/>
          <w:b/>
          <w:bCs/>
          <w:color w:val="182C3F"/>
          <w:sz w:val="28"/>
          <w:szCs w:val="28"/>
        </w:rPr>
        <w:t>提交方式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b/>
          <w:bCs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参会回执</w:t>
      </w:r>
      <w:r>
        <w:rPr>
          <w:rFonts w:hint="eastAsia" w:ascii="宋体" w:hAnsi="宋体" w:eastAsia="宋体" w:cs="宋体"/>
          <w:color w:val="182C3F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182C3F"/>
          <w:sz w:val="28"/>
          <w:szCs w:val="28"/>
          <w:lang w:val="en-US" w:eastAsia="zh-CN"/>
        </w:rPr>
        <w:t>论文或论文摘要</w:t>
      </w:r>
      <w:r>
        <w:rPr>
          <w:rFonts w:hint="eastAsia" w:ascii="宋体" w:hAnsi="宋体" w:eastAsia="宋体" w:cs="宋体"/>
          <w:color w:val="182C3F"/>
          <w:sz w:val="28"/>
          <w:szCs w:val="28"/>
        </w:rPr>
        <w:t>请于2021年6月20日前通过电子邮件方式发送至本次会议联系人邮箱：</w:t>
      </w:r>
      <w:r>
        <w:rPr>
          <w:rFonts w:hint="eastAsia" w:ascii="宋体" w:hAnsi="宋体" w:eastAsia="宋体" w:cs="宋体"/>
          <w:b/>
          <w:bCs/>
          <w:color w:val="182C3F"/>
          <w:sz w:val="28"/>
          <w:szCs w:val="28"/>
        </w:rPr>
        <w:t>whbwhb873@163.com。</w:t>
      </w:r>
    </w:p>
    <w:p>
      <w:pPr>
        <w:spacing w:line="300" w:lineRule="auto"/>
        <w:ind w:firstLine="562" w:firstLineChars="200"/>
        <w:rPr>
          <w:rFonts w:ascii="宋体" w:hAnsi="宋体" w:eastAsia="宋体" w:cs="宋体"/>
          <w:b/>
          <w:bCs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82C3F"/>
          <w:sz w:val="28"/>
          <w:szCs w:val="28"/>
        </w:rPr>
        <w:t>五、参会人员及费用安排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本次会议不收取会务费。除特别邀请的专家，参会人员的往返交通费和住宿费自理。会议承办方江西财经大学将提供参会期间的工作餐。</w:t>
      </w:r>
    </w:p>
    <w:p>
      <w:pPr>
        <w:snapToGrid w:val="0"/>
        <w:spacing w:line="360" w:lineRule="auto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六、交通提示</w:t>
      </w:r>
    </w:p>
    <w:p>
      <w:pPr>
        <w:snapToGrid w:val="0"/>
        <w:spacing w:line="360" w:lineRule="auto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井冈山</w:t>
      </w:r>
      <w:r>
        <w:rPr>
          <w:rFonts w:hint="eastAsia" w:ascii="宋体" w:hAnsi="宋体" w:eastAsia="宋体"/>
          <w:sz w:val="28"/>
          <w:szCs w:val="28"/>
        </w:rPr>
        <w:t>宾馆地址：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江西省</w:t>
      </w:r>
      <w:r>
        <w:rPr>
          <w:rFonts w:hint="eastAsia" w:ascii="宋体" w:hAnsi="宋体" w:eastAsia="宋体"/>
          <w:sz w:val="28"/>
          <w:szCs w:val="28"/>
        </w:rPr>
        <w:t>井冈山市茨坪镇红军北路16号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1</w:t>
      </w:r>
      <w:r>
        <w:rPr>
          <w:rFonts w:ascii="宋体" w:hAnsi="宋体" w:eastAsia="宋体" w:cs="宋体"/>
          <w:color w:val="182C3F"/>
          <w:sz w:val="28"/>
          <w:szCs w:val="28"/>
        </w:rPr>
        <w:t>.</w:t>
      </w:r>
      <w:r>
        <w:rPr>
          <w:rFonts w:hint="eastAsia" w:ascii="宋体" w:hAnsi="宋体" w:eastAsia="宋体" w:cs="宋体"/>
          <w:color w:val="182C3F"/>
          <w:sz w:val="28"/>
          <w:szCs w:val="28"/>
        </w:rPr>
        <w:t>井冈山机场：距井冈山宾馆约80公里。暂无公交，</w:t>
      </w:r>
      <w:r>
        <w:rPr>
          <w:rFonts w:hint="eastAsia" w:ascii="宋体" w:hAnsi="宋体" w:eastAsia="宋体" w:cs="宋体"/>
          <w:color w:val="182C3F"/>
          <w:sz w:val="28"/>
          <w:szCs w:val="28"/>
          <w:lang w:val="en-US" w:eastAsia="zh-CN"/>
        </w:rPr>
        <w:t>可</w:t>
      </w:r>
      <w:r>
        <w:rPr>
          <w:rFonts w:hint="eastAsia" w:ascii="宋体" w:hAnsi="宋体" w:eastAsia="宋体" w:cs="宋体"/>
          <w:color w:val="182C3F"/>
          <w:sz w:val="28"/>
          <w:szCs w:val="28"/>
        </w:rPr>
        <w:t>打车前往。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ascii="宋体" w:hAnsi="宋体" w:eastAsia="宋体" w:cs="宋体"/>
          <w:color w:val="182C3F"/>
          <w:sz w:val="28"/>
          <w:szCs w:val="28"/>
        </w:rPr>
        <w:t>2.</w:t>
      </w:r>
      <w:r>
        <w:rPr>
          <w:rFonts w:hint="eastAsia" w:ascii="宋体" w:hAnsi="宋体" w:eastAsia="宋体" w:cs="宋体"/>
          <w:color w:val="182C3F"/>
          <w:sz w:val="28"/>
          <w:szCs w:val="28"/>
        </w:rPr>
        <w:t>井冈山火车站：距井冈山宾馆约33公里。可乘98路公交或打车前往。</w:t>
      </w:r>
    </w:p>
    <w:p>
      <w:pPr>
        <w:snapToGrid w:val="0"/>
        <w:spacing w:line="360" w:lineRule="auto"/>
        <w:ind w:firstLine="600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七、会议组织机构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主办单位：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中国社会科学院社会学研究所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江西财经大学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协办单位：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中国社会科学院社会发展战略研究院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江西省社会科学院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承办单位：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江西财经大学人文学院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江西财经大学生态文明与现代中国研究中心</w:t>
      </w:r>
    </w:p>
    <w:p>
      <w:pPr>
        <w:snapToGrid w:val="0"/>
        <w:spacing w:line="360" w:lineRule="auto"/>
        <w:ind w:firstLine="56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江西财经大学社会工作与社会政策研究中心</w:t>
      </w:r>
    </w:p>
    <w:p>
      <w:pPr>
        <w:spacing w:line="360" w:lineRule="auto"/>
        <w:ind w:firstLine="601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友情支持单位：</w:t>
      </w:r>
    </w:p>
    <w:p>
      <w:pPr>
        <w:spacing w:line="360" w:lineRule="auto"/>
        <w:ind w:firstLine="601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《社会学研究》编辑部</w:t>
      </w:r>
    </w:p>
    <w:p>
      <w:pPr>
        <w:spacing w:line="360" w:lineRule="auto"/>
        <w:ind w:firstLine="601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《青年研究》编辑部</w:t>
      </w:r>
    </w:p>
    <w:p>
      <w:pPr>
        <w:spacing w:line="360" w:lineRule="auto"/>
        <w:ind w:firstLine="601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《社会发展研究》编辑部</w:t>
      </w:r>
    </w:p>
    <w:p>
      <w:pPr>
        <w:spacing w:line="360" w:lineRule="auto"/>
        <w:ind w:firstLine="601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《江西社会科学》编辑部</w:t>
      </w:r>
    </w:p>
    <w:p>
      <w:pPr>
        <w:spacing w:line="360" w:lineRule="auto"/>
        <w:ind w:firstLine="601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《江西财经大学学报》编辑部</w:t>
      </w:r>
    </w:p>
    <w:p>
      <w:pPr>
        <w:spacing w:line="300" w:lineRule="auto"/>
        <w:ind w:firstLine="562" w:firstLineChars="200"/>
        <w:rPr>
          <w:rFonts w:ascii="宋体" w:hAnsi="宋体" w:eastAsia="宋体" w:cs="宋体"/>
          <w:b/>
          <w:bCs/>
          <w:color w:val="182C3F"/>
          <w:sz w:val="28"/>
          <w:szCs w:val="28"/>
        </w:rPr>
      </w:pPr>
    </w:p>
    <w:p>
      <w:pPr>
        <w:spacing w:line="300" w:lineRule="auto"/>
        <w:ind w:firstLine="562" w:firstLineChars="200"/>
        <w:rPr>
          <w:rFonts w:ascii="宋体" w:hAnsi="宋体" w:eastAsia="宋体" w:cs="宋体"/>
          <w:b/>
          <w:bCs/>
          <w:color w:val="182C3F"/>
          <w:sz w:val="28"/>
          <w:szCs w:val="28"/>
        </w:rPr>
      </w:pPr>
    </w:p>
    <w:p>
      <w:pPr>
        <w:spacing w:line="300" w:lineRule="auto"/>
        <w:ind w:firstLine="562" w:firstLineChars="200"/>
        <w:rPr>
          <w:rFonts w:ascii="宋体" w:hAnsi="宋体" w:eastAsia="宋体" w:cs="宋体"/>
          <w:b/>
          <w:bCs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82C3F"/>
          <w:sz w:val="28"/>
          <w:szCs w:val="28"/>
        </w:rPr>
        <w:t>八、会务联系方式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中国社科院社会学所：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联系电话：傅学军010-85195573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江西财经大学人文学院：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联系电话：汪鸿波18621132718 ；吴时辉：15907913732</w:t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  <w:r>
        <w:rPr>
          <w:rFonts w:hint="eastAsia" w:ascii="宋体" w:hAnsi="宋体" w:eastAsia="宋体" w:cs="宋体"/>
          <w:color w:val="182C3F"/>
          <w:sz w:val="28"/>
          <w:szCs w:val="28"/>
        </w:rPr>
        <w:t>电子邮箱：</w:t>
      </w:r>
      <w:r>
        <w:fldChar w:fldCharType="begin"/>
      </w:r>
      <w:r>
        <w:instrText xml:space="preserve"> HYPERLINK "mailto:whbwhb873@163.com"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color w:val="182C3F"/>
          <w:sz w:val="28"/>
          <w:szCs w:val="28"/>
        </w:rPr>
        <w:t>whbwhb873@163.com</w:t>
      </w:r>
      <w:r>
        <w:rPr>
          <w:rStyle w:val="6"/>
          <w:rFonts w:hint="eastAsia" w:ascii="宋体" w:hAnsi="宋体" w:eastAsia="宋体" w:cs="宋体"/>
          <w:color w:val="182C3F"/>
          <w:sz w:val="28"/>
          <w:szCs w:val="28"/>
        </w:rPr>
        <w:fldChar w:fldCharType="end"/>
      </w: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</w:p>
    <w:p>
      <w:pPr>
        <w:ind w:right="960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right="960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right="96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参会回执</w:t>
      </w:r>
    </w:p>
    <w:tbl>
      <w:tblPr>
        <w:tblStyle w:val="4"/>
        <w:tblpPr w:leftFromText="180" w:rightFromText="180" w:vertAnchor="text" w:horzAnchor="page" w:tblpX="2003" w:tblpY="586"/>
        <w:tblOverlap w:val="never"/>
        <w:tblW w:w="497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598"/>
        <w:gridCol w:w="1285"/>
        <w:gridCol w:w="2432"/>
        <w:gridCol w:w="810"/>
        <w:gridCol w:w="1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4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182C3F"/>
                <w:sz w:val="24"/>
              </w:rPr>
              <w:t>姓名</w:t>
            </w:r>
          </w:p>
        </w:tc>
        <w:tc>
          <w:tcPr>
            <w:tcW w:w="9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7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ind w:left="4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182C3F"/>
                <w:sz w:val="24"/>
              </w:rPr>
              <w:t>工作单位</w:t>
            </w:r>
          </w:p>
        </w:tc>
        <w:tc>
          <w:tcPr>
            <w:tcW w:w="14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4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ascii="宋体" w:hAnsi="宋体"/>
                <w:b/>
                <w:bCs/>
                <w:color w:val="182C3F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182C3F"/>
                <w:szCs w:val="21"/>
              </w:rPr>
              <w:t>职称</w:t>
            </w:r>
          </w:p>
          <w:p>
            <w:pPr>
              <w:spacing w:line="27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182C3F"/>
                <w:szCs w:val="21"/>
              </w:rPr>
              <w:t>职务</w:t>
            </w:r>
          </w:p>
        </w:tc>
        <w:tc>
          <w:tcPr>
            <w:tcW w:w="9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42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b/>
                <w:bCs/>
                <w:color w:val="182C3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182C3F"/>
                <w:sz w:val="24"/>
              </w:rPr>
              <w:t>手机号码</w:t>
            </w:r>
          </w:p>
        </w:tc>
        <w:tc>
          <w:tcPr>
            <w:tcW w:w="3580" w:type="pct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0" w:lineRule="atLeast"/>
              <w:rPr>
                <w:rFonts w:ascii="宋体" w:hAnsi="宋体"/>
                <w:color w:val="182C3F"/>
                <w:sz w:val="24"/>
              </w:rPr>
            </w:pPr>
            <w:r>
              <w:rPr>
                <w:rFonts w:hint="eastAsia" w:ascii="宋体" w:hAnsi="宋体"/>
                <w:color w:val="182C3F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42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182C3F"/>
                <w:sz w:val="24"/>
              </w:rPr>
              <w:t>电子信箱</w:t>
            </w:r>
          </w:p>
        </w:tc>
        <w:tc>
          <w:tcPr>
            <w:tcW w:w="3580" w:type="pct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42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182C3F"/>
                <w:sz w:val="24"/>
              </w:rPr>
              <w:t>报告</w:t>
            </w:r>
            <w:r>
              <w:rPr>
                <w:rFonts w:hint="eastAsia" w:ascii="宋体" w:hAnsi="宋体"/>
                <w:b/>
                <w:bCs/>
                <w:color w:val="182C3F"/>
                <w:sz w:val="24"/>
                <w:lang w:val="en-US" w:eastAsia="zh-CN"/>
              </w:rPr>
              <w:t>或论文</w:t>
            </w:r>
            <w:r>
              <w:rPr>
                <w:rFonts w:hint="eastAsia" w:ascii="宋体" w:hAnsi="宋体"/>
                <w:b/>
                <w:bCs/>
                <w:color w:val="182C3F"/>
                <w:sz w:val="24"/>
              </w:rPr>
              <w:t>题目</w:t>
            </w:r>
          </w:p>
        </w:tc>
        <w:tc>
          <w:tcPr>
            <w:tcW w:w="358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20" w:type="pct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b/>
                <w:bCs/>
                <w:color w:val="182C3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182C3F"/>
                <w:sz w:val="24"/>
              </w:rPr>
              <w:t>往返计划</w:t>
            </w:r>
          </w:p>
        </w:tc>
        <w:tc>
          <w:tcPr>
            <w:tcW w:w="358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到井冈山时间及航班/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火车</w:t>
            </w:r>
            <w:r>
              <w:rPr>
                <w:rFonts w:hint="eastAsia" w:ascii="Times New Roman" w:hAnsi="Times New Roman"/>
                <w:sz w:val="24"/>
              </w:rPr>
              <w:t>班次：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20" w:type="pct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b/>
                <w:bCs/>
                <w:color w:val="182C3F"/>
                <w:sz w:val="24"/>
              </w:rPr>
            </w:pPr>
          </w:p>
        </w:tc>
        <w:tc>
          <w:tcPr>
            <w:tcW w:w="3580" w:type="pct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离</w:t>
            </w:r>
            <w:r>
              <w:rPr>
                <w:rFonts w:hint="eastAsia" w:ascii="Times New Roman" w:hAnsi="Times New Roman"/>
                <w:sz w:val="24"/>
              </w:rPr>
              <w:t>井冈山</w:t>
            </w:r>
            <w:r>
              <w:rPr>
                <w:rFonts w:ascii="Times New Roman" w:hAnsi="Times New Roman"/>
                <w:sz w:val="24"/>
              </w:rPr>
              <w:t>时间及航班</w:t>
            </w:r>
            <w:r>
              <w:rPr>
                <w:rFonts w:hint="eastAsia"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火车</w:t>
            </w:r>
            <w:r>
              <w:rPr>
                <w:rFonts w:hint="eastAsia" w:ascii="Times New Roman" w:hAnsi="Times New Roman"/>
                <w:sz w:val="24"/>
              </w:rPr>
              <w:t>班次：</w:t>
            </w:r>
          </w:p>
        </w:tc>
      </w:tr>
    </w:tbl>
    <w:p>
      <w:pPr>
        <w:ind w:right="960" w:firstLine="750" w:firstLineChars="250"/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ind w:right="960" w:firstLine="750" w:firstLineChars="250"/>
        <w:rPr>
          <w:rFonts w:ascii="华文仿宋" w:hAnsi="华文仿宋" w:eastAsia="华文仿宋"/>
          <w:sz w:val="30"/>
          <w:szCs w:val="30"/>
        </w:rPr>
      </w:pP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</w:p>
    <w:p>
      <w:pPr>
        <w:spacing w:line="300" w:lineRule="auto"/>
        <w:ind w:firstLine="560" w:firstLineChars="200"/>
        <w:rPr>
          <w:rFonts w:ascii="宋体" w:hAnsi="宋体" w:eastAsia="宋体" w:cs="宋体"/>
          <w:color w:val="182C3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D8"/>
    <w:rsid w:val="00016919"/>
    <w:rsid w:val="000219D8"/>
    <w:rsid w:val="00092715"/>
    <w:rsid w:val="00166D79"/>
    <w:rsid w:val="002E49B7"/>
    <w:rsid w:val="003F2690"/>
    <w:rsid w:val="005D3767"/>
    <w:rsid w:val="00715BAB"/>
    <w:rsid w:val="007234F8"/>
    <w:rsid w:val="00795F8A"/>
    <w:rsid w:val="00832435"/>
    <w:rsid w:val="0095409D"/>
    <w:rsid w:val="00AD65AD"/>
    <w:rsid w:val="00B6531F"/>
    <w:rsid w:val="00BD6099"/>
    <w:rsid w:val="00C028E5"/>
    <w:rsid w:val="00DC71DE"/>
    <w:rsid w:val="00E47D53"/>
    <w:rsid w:val="00EF0554"/>
    <w:rsid w:val="12850D48"/>
    <w:rsid w:val="1D781AB7"/>
    <w:rsid w:val="31536B0D"/>
    <w:rsid w:val="328B67B9"/>
    <w:rsid w:val="3DFE0819"/>
    <w:rsid w:val="404222B8"/>
    <w:rsid w:val="4A4879E8"/>
    <w:rsid w:val="4C97206E"/>
    <w:rsid w:val="4D096DF6"/>
    <w:rsid w:val="50F37656"/>
    <w:rsid w:val="6CA62174"/>
    <w:rsid w:val="6CB97F4C"/>
    <w:rsid w:val="6E3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1230</Characters>
  <Lines>10</Lines>
  <Paragraphs>2</Paragraphs>
  <TotalTime>140</TotalTime>
  <ScaleCrop>false</ScaleCrop>
  <LinksUpToDate>false</LinksUpToDate>
  <CharactersWithSpaces>1443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2021-04-22T13:57:00Z</dcterms:created>
  <dc:creator>jgh</dc:creator>
  <cp:lastModifiedBy>蒋国河</cp:lastModifiedBy>
  <dcterms:modified xsi:type="dcterms:W3CDTF">2021-05-27T08:53:04Z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7FC3819406CE45A6BA878C4C151E89A9</vt:lpwstr>
  </property>
</Properties>
</file>